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6B3759">
      <w:pPr>
        <w:spacing w:line="240" w:lineRule="auto"/>
        <w:rPr>
          <w:b/>
          <w:sz w:val="28"/>
          <w:szCs w:val="28"/>
        </w:rPr>
      </w:pPr>
    </w:p>
    <w:p w:rsidR="00C27D95" w:rsidRDefault="00C27D95" w:rsidP="006B3759">
      <w:pPr>
        <w:spacing w:line="240" w:lineRule="auto"/>
        <w:rPr>
          <w:b/>
          <w:sz w:val="28"/>
          <w:szCs w:val="28"/>
        </w:rPr>
      </w:pPr>
    </w:p>
    <w:p w:rsidR="00C27D95" w:rsidRDefault="00C27D95" w:rsidP="006B3759">
      <w:pPr>
        <w:spacing w:line="240" w:lineRule="auto"/>
        <w:rPr>
          <w:b/>
          <w:sz w:val="28"/>
          <w:szCs w:val="28"/>
        </w:rPr>
      </w:pPr>
    </w:p>
    <w:p w:rsidR="00C27D95" w:rsidRDefault="00C27D95" w:rsidP="006B3759">
      <w:pPr>
        <w:spacing w:line="240" w:lineRule="auto"/>
        <w:rPr>
          <w:b/>
          <w:sz w:val="28"/>
          <w:szCs w:val="28"/>
        </w:rPr>
      </w:pPr>
    </w:p>
    <w:p w:rsidR="00C27D95" w:rsidRPr="00154908" w:rsidRDefault="00C27D95" w:rsidP="00C27D95">
      <w:pPr>
        <w:spacing w:line="240" w:lineRule="auto"/>
        <w:rPr>
          <w:sz w:val="28"/>
          <w:szCs w:val="28"/>
        </w:rPr>
      </w:pPr>
      <w:r w:rsidRPr="00154908">
        <w:rPr>
          <w:sz w:val="28"/>
          <w:szCs w:val="28"/>
        </w:rPr>
        <w:t>Joint Links Fitness Check DRAFT Evidence Submission 25/03/2015</w:t>
      </w:r>
    </w:p>
    <w:p w:rsidR="00C27D95" w:rsidRPr="00154908" w:rsidRDefault="00C27D95" w:rsidP="00C27D95">
      <w:pPr>
        <w:spacing w:line="240" w:lineRule="auto"/>
        <w:rPr>
          <w:sz w:val="28"/>
          <w:szCs w:val="28"/>
        </w:rPr>
      </w:pPr>
    </w:p>
    <w:p w:rsidR="00C27D95" w:rsidRPr="00154908" w:rsidRDefault="00C27D95" w:rsidP="00C27D95">
      <w:pPr>
        <w:ind w:left="1440" w:hanging="1440"/>
        <w:rPr>
          <w:b/>
          <w:sz w:val="28"/>
          <w:szCs w:val="28"/>
        </w:rPr>
      </w:pPr>
      <w:r w:rsidRPr="00154908">
        <w:rPr>
          <w:b/>
          <w:sz w:val="28"/>
          <w:szCs w:val="28"/>
        </w:rPr>
        <w:t xml:space="preserve">Annex II: </w:t>
      </w:r>
      <w:r w:rsidRPr="00154908">
        <w:rPr>
          <w:b/>
          <w:sz w:val="28"/>
          <w:szCs w:val="28"/>
        </w:rPr>
        <w:tab/>
        <w:t>BirdLife NATURA 2000 SPA and SAC Designation Barometer (November 2013)</w:t>
      </w:r>
    </w:p>
    <w:p w:rsidR="00C27D95" w:rsidRPr="005921E9" w:rsidRDefault="00C27D95" w:rsidP="00C27D95">
      <w:pPr>
        <w:rPr>
          <w:b/>
          <w:sz w:val="28"/>
          <w:szCs w:val="28"/>
        </w:rPr>
      </w:pPr>
    </w:p>
    <w:p w:rsidR="00C27D95" w:rsidRPr="005921E9" w:rsidRDefault="00C27D95" w:rsidP="005921E9">
      <w:pPr>
        <w:jc w:val="both"/>
        <w:rPr>
          <w:sz w:val="22"/>
          <w:szCs w:val="22"/>
        </w:rPr>
      </w:pPr>
      <w:r w:rsidRPr="005921E9">
        <w:rPr>
          <w:sz w:val="22"/>
          <w:szCs w:val="22"/>
        </w:rPr>
        <w:t>This work was undertaken by Pip Goodwin for the RSPB on behalf of BirdLife, with assistance from BirdLife staff and other BirdLife members.</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 xml:space="preserve">The aim was to produce RAG (Red-Amber-Green) ratings of the adequacy of the coverage of terrestrial and marine </w:t>
      </w:r>
      <w:proofErr w:type="spellStart"/>
      <w:r w:rsidRPr="005921E9">
        <w:rPr>
          <w:sz w:val="22"/>
          <w:szCs w:val="22"/>
        </w:rPr>
        <w:t>Natura</w:t>
      </w:r>
      <w:proofErr w:type="spellEnd"/>
      <w:r w:rsidRPr="005921E9">
        <w:rPr>
          <w:sz w:val="22"/>
          <w:szCs w:val="22"/>
        </w:rPr>
        <w:t xml:space="preserve"> 2000 sites in each member state of the European Union.</w:t>
      </w:r>
    </w:p>
    <w:p w:rsidR="00C27D95" w:rsidRPr="005921E9" w:rsidRDefault="00C27D95" w:rsidP="005921E9">
      <w:pPr>
        <w:jc w:val="both"/>
        <w:rPr>
          <w:sz w:val="22"/>
          <w:szCs w:val="22"/>
        </w:rPr>
      </w:pPr>
    </w:p>
    <w:p w:rsidR="00C27D95" w:rsidRPr="005921E9" w:rsidRDefault="00C27D95" w:rsidP="005921E9">
      <w:pPr>
        <w:jc w:val="both"/>
        <w:rPr>
          <w:b/>
          <w:sz w:val="22"/>
          <w:szCs w:val="22"/>
        </w:rPr>
      </w:pPr>
      <w:r w:rsidRPr="005921E9">
        <w:rPr>
          <w:b/>
          <w:sz w:val="22"/>
          <w:szCs w:val="22"/>
        </w:rPr>
        <w:t>Terrestrial Sites</w:t>
      </w:r>
    </w:p>
    <w:p w:rsidR="005921E9" w:rsidRDefault="005921E9" w:rsidP="005921E9">
      <w:pPr>
        <w:jc w:val="both"/>
        <w:rPr>
          <w:sz w:val="22"/>
          <w:szCs w:val="22"/>
        </w:rPr>
      </w:pPr>
    </w:p>
    <w:p w:rsidR="00C27D95" w:rsidRPr="005921E9" w:rsidRDefault="00C27D95" w:rsidP="005921E9">
      <w:pPr>
        <w:jc w:val="both"/>
        <w:rPr>
          <w:sz w:val="22"/>
          <w:szCs w:val="22"/>
        </w:rPr>
      </w:pPr>
      <w:r w:rsidRPr="005921E9">
        <w:rPr>
          <w:sz w:val="22"/>
          <w:szCs w:val="22"/>
        </w:rPr>
        <w:t xml:space="preserve">For terrestrial sites, the simplest means was to use the percentage overlap of Important Bird Areas (IBAs) with SPAs, for the adequacy of the SPA network.  This data was obtained from the spreadsheet compiled by Ian </w:t>
      </w:r>
      <w:proofErr w:type="spellStart"/>
      <w:r w:rsidRPr="005921E9">
        <w:rPr>
          <w:sz w:val="22"/>
          <w:szCs w:val="22"/>
        </w:rPr>
        <w:t>Burfield</w:t>
      </w:r>
      <w:proofErr w:type="spellEnd"/>
      <w:r w:rsidRPr="005921E9">
        <w:rPr>
          <w:sz w:val="22"/>
          <w:szCs w:val="22"/>
        </w:rPr>
        <w:t xml:space="preserve"> in August 2012 for </w:t>
      </w:r>
      <w:proofErr w:type="spellStart"/>
      <w:r w:rsidRPr="005921E9">
        <w:rPr>
          <w:sz w:val="22"/>
          <w:szCs w:val="22"/>
        </w:rPr>
        <w:t>Birdlife’s</w:t>
      </w:r>
      <w:proofErr w:type="spellEnd"/>
      <w:r w:rsidRPr="005921E9">
        <w:rPr>
          <w:sz w:val="22"/>
          <w:szCs w:val="22"/>
        </w:rPr>
        <w:t xml:space="preserve"> Road to Recovery Report.</w:t>
      </w:r>
    </w:p>
    <w:p w:rsidR="005921E9" w:rsidRDefault="005921E9" w:rsidP="005921E9">
      <w:pPr>
        <w:jc w:val="both"/>
        <w:rPr>
          <w:sz w:val="22"/>
          <w:szCs w:val="22"/>
        </w:rPr>
      </w:pPr>
    </w:p>
    <w:p w:rsidR="00C27D95" w:rsidRPr="005921E9" w:rsidRDefault="00C27D95" w:rsidP="005921E9">
      <w:pPr>
        <w:jc w:val="both"/>
        <w:rPr>
          <w:sz w:val="22"/>
          <w:szCs w:val="22"/>
        </w:rPr>
      </w:pPr>
      <w:r w:rsidRPr="005921E9">
        <w:rPr>
          <w:sz w:val="22"/>
          <w:szCs w:val="22"/>
        </w:rPr>
        <w:t>For the terrestrial IBA/SPA overlap the RAG rating followed the Birdlife thresholds for measuring progress on designation from the above report:</w:t>
      </w:r>
    </w:p>
    <w:p w:rsidR="00C27D95" w:rsidRPr="005921E9" w:rsidRDefault="00C27D95" w:rsidP="005921E9">
      <w:pPr>
        <w:jc w:val="both"/>
        <w:rPr>
          <w:sz w:val="22"/>
          <w:szCs w:val="22"/>
        </w:rPr>
      </w:pPr>
      <w:r w:rsidRPr="005921E9">
        <w:rPr>
          <w:sz w:val="22"/>
          <w:szCs w:val="22"/>
        </w:rPr>
        <w:t>Red &lt;40%</w:t>
      </w:r>
    </w:p>
    <w:p w:rsidR="00C27D95" w:rsidRPr="005921E9" w:rsidRDefault="00C27D95" w:rsidP="005921E9">
      <w:pPr>
        <w:jc w:val="both"/>
        <w:rPr>
          <w:sz w:val="22"/>
          <w:szCs w:val="22"/>
        </w:rPr>
      </w:pPr>
      <w:r w:rsidRPr="005921E9">
        <w:rPr>
          <w:sz w:val="22"/>
          <w:szCs w:val="22"/>
        </w:rPr>
        <w:t xml:space="preserve">Amber 40%-70% </w:t>
      </w:r>
    </w:p>
    <w:p w:rsidR="00C27D95" w:rsidRPr="005921E9" w:rsidRDefault="00C27D95" w:rsidP="005921E9">
      <w:pPr>
        <w:jc w:val="both"/>
        <w:rPr>
          <w:sz w:val="22"/>
          <w:szCs w:val="22"/>
        </w:rPr>
      </w:pPr>
      <w:r w:rsidRPr="005921E9">
        <w:rPr>
          <w:sz w:val="22"/>
          <w:szCs w:val="22"/>
        </w:rPr>
        <w:t>Green &gt;70%</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 xml:space="preserve">The adequacy of the SCI network on land was assessed using information from the European Commission’s CIRCABC website. This contains the Commission’s Conclusions on the adequacy of the representation of habitat types and species of Community interest in the </w:t>
      </w:r>
      <w:proofErr w:type="spellStart"/>
      <w:r w:rsidRPr="005921E9">
        <w:rPr>
          <w:sz w:val="22"/>
          <w:szCs w:val="22"/>
        </w:rPr>
        <w:t>Natura</w:t>
      </w:r>
      <w:proofErr w:type="spellEnd"/>
      <w:r w:rsidRPr="005921E9">
        <w:rPr>
          <w:sz w:val="22"/>
          <w:szCs w:val="22"/>
        </w:rPr>
        <w:t xml:space="preserve"> 2000 network and was last updated at the end of 2012.  The percentage of those habitats and species considered not sufficient out of the total number of such habitats and species as listed on the Reference Lists</w:t>
      </w:r>
      <w:r w:rsidRPr="005921E9">
        <w:rPr>
          <w:rStyle w:val="FootnoteReference"/>
          <w:sz w:val="22"/>
          <w:szCs w:val="22"/>
        </w:rPr>
        <w:footnoteReference w:id="1"/>
      </w:r>
      <w:r w:rsidRPr="005921E9">
        <w:rPr>
          <w:sz w:val="22"/>
          <w:szCs w:val="22"/>
        </w:rPr>
        <w:t xml:space="preserve"> for each </w:t>
      </w:r>
      <w:proofErr w:type="spellStart"/>
      <w:r w:rsidRPr="005921E9">
        <w:rPr>
          <w:sz w:val="22"/>
          <w:szCs w:val="22"/>
        </w:rPr>
        <w:t>biogeographical</w:t>
      </w:r>
      <w:proofErr w:type="spellEnd"/>
      <w:r w:rsidRPr="005921E9">
        <w:rPr>
          <w:sz w:val="22"/>
          <w:szCs w:val="22"/>
        </w:rPr>
        <w:t xml:space="preserve"> region was calculated. The percentages for all </w:t>
      </w:r>
      <w:proofErr w:type="spellStart"/>
      <w:r w:rsidRPr="005921E9">
        <w:rPr>
          <w:sz w:val="22"/>
          <w:szCs w:val="22"/>
        </w:rPr>
        <w:t>biogeographic</w:t>
      </w:r>
      <w:proofErr w:type="spellEnd"/>
      <w:r w:rsidRPr="005921E9">
        <w:rPr>
          <w:sz w:val="22"/>
          <w:szCs w:val="22"/>
        </w:rPr>
        <w:t xml:space="preserve"> regions of each member state were combined to calculate an overall country rating.</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The RAG rating of the adequacy of SCI used the correlative thresholds of those used above:</w:t>
      </w:r>
    </w:p>
    <w:p w:rsidR="00C27D95" w:rsidRPr="005921E9" w:rsidRDefault="00C27D95" w:rsidP="005921E9">
      <w:pPr>
        <w:jc w:val="both"/>
        <w:rPr>
          <w:sz w:val="22"/>
          <w:szCs w:val="22"/>
        </w:rPr>
      </w:pPr>
      <w:r w:rsidRPr="005921E9">
        <w:rPr>
          <w:sz w:val="22"/>
          <w:szCs w:val="22"/>
        </w:rPr>
        <w:t>Red &gt;60% of species and habitats deemed insufficient</w:t>
      </w:r>
    </w:p>
    <w:p w:rsidR="00C27D95" w:rsidRPr="005921E9" w:rsidRDefault="00C27D95" w:rsidP="005921E9">
      <w:pPr>
        <w:jc w:val="both"/>
        <w:rPr>
          <w:sz w:val="22"/>
          <w:szCs w:val="22"/>
        </w:rPr>
      </w:pPr>
      <w:r w:rsidRPr="005921E9">
        <w:rPr>
          <w:sz w:val="22"/>
          <w:szCs w:val="22"/>
        </w:rPr>
        <w:t>Amber 30%-60% of habitats deemed sufficient</w:t>
      </w:r>
    </w:p>
    <w:p w:rsidR="00C27D95" w:rsidRPr="005921E9" w:rsidRDefault="00C27D95" w:rsidP="005921E9">
      <w:pPr>
        <w:jc w:val="both"/>
        <w:rPr>
          <w:sz w:val="22"/>
          <w:szCs w:val="22"/>
        </w:rPr>
      </w:pPr>
      <w:r w:rsidRPr="005921E9">
        <w:rPr>
          <w:sz w:val="22"/>
          <w:szCs w:val="22"/>
        </w:rPr>
        <w:t>Green &lt;30% of species and habitats deemed insufficient</w:t>
      </w:r>
    </w:p>
    <w:p w:rsidR="00C27D95" w:rsidRPr="005921E9" w:rsidRDefault="00C27D95" w:rsidP="005921E9">
      <w:pPr>
        <w:jc w:val="both"/>
        <w:rPr>
          <w:sz w:val="22"/>
          <w:szCs w:val="22"/>
        </w:rPr>
      </w:pPr>
    </w:p>
    <w:p w:rsidR="00C27D95" w:rsidRPr="005921E9" w:rsidRDefault="00C27D95" w:rsidP="005921E9">
      <w:pPr>
        <w:jc w:val="both"/>
        <w:rPr>
          <w:b/>
          <w:sz w:val="22"/>
          <w:szCs w:val="22"/>
        </w:rPr>
      </w:pPr>
      <w:r w:rsidRPr="005921E9">
        <w:rPr>
          <w:b/>
          <w:sz w:val="22"/>
          <w:szCs w:val="22"/>
        </w:rPr>
        <w:t>Marine Sites</w:t>
      </w:r>
    </w:p>
    <w:p w:rsidR="005921E9" w:rsidRDefault="005921E9" w:rsidP="005921E9">
      <w:pPr>
        <w:jc w:val="both"/>
        <w:rPr>
          <w:sz w:val="22"/>
          <w:szCs w:val="22"/>
        </w:rPr>
      </w:pPr>
    </w:p>
    <w:p w:rsidR="00C27D95" w:rsidRPr="005921E9" w:rsidRDefault="00C27D95" w:rsidP="005921E9">
      <w:pPr>
        <w:jc w:val="both"/>
        <w:rPr>
          <w:sz w:val="22"/>
          <w:szCs w:val="22"/>
        </w:rPr>
      </w:pPr>
      <w:r w:rsidRPr="005921E9">
        <w:rPr>
          <w:sz w:val="22"/>
          <w:szCs w:val="22"/>
        </w:rPr>
        <w:t xml:space="preserve">Similarly, marine SPAs were assessed using the Marine IBA/SPA percentage overlap data tabled by Phil Taylor and Ivan Ramirez at the Marine Task Force meeting in November 2013 (and which were used in the Road to Recovery report). </w:t>
      </w:r>
    </w:p>
    <w:p w:rsidR="005921E9" w:rsidRDefault="005921E9" w:rsidP="005921E9">
      <w:pPr>
        <w:jc w:val="both"/>
        <w:rPr>
          <w:sz w:val="22"/>
          <w:szCs w:val="22"/>
        </w:rPr>
      </w:pPr>
    </w:p>
    <w:p w:rsidR="00C27D95" w:rsidRPr="005921E9" w:rsidRDefault="00C27D95" w:rsidP="005921E9">
      <w:pPr>
        <w:jc w:val="both"/>
        <w:rPr>
          <w:sz w:val="22"/>
          <w:szCs w:val="22"/>
        </w:rPr>
      </w:pPr>
      <w:r w:rsidRPr="005921E9">
        <w:rPr>
          <w:sz w:val="22"/>
          <w:szCs w:val="22"/>
        </w:rPr>
        <w:lastRenderedPageBreak/>
        <w:t>For the marine IBA/SPA overlap the RAG rating kept the same Birdlife thresholds as for terrestrial sites:</w:t>
      </w:r>
    </w:p>
    <w:p w:rsidR="00C27D95" w:rsidRPr="005921E9" w:rsidRDefault="00C27D95" w:rsidP="005921E9">
      <w:pPr>
        <w:jc w:val="both"/>
        <w:rPr>
          <w:sz w:val="22"/>
          <w:szCs w:val="22"/>
        </w:rPr>
      </w:pPr>
      <w:r w:rsidRPr="005921E9">
        <w:rPr>
          <w:sz w:val="22"/>
          <w:szCs w:val="22"/>
        </w:rPr>
        <w:t>Red &lt;40%</w:t>
      </w:r>
    </w:p>
    <w:p w:rsidR="00C27D95" w:rsidRPr="005921E9" w:rsidRDefault="00C27D95" w:rsidP="005921E9">
      <w:pPr>
        <w:jc w:val="both"/>
        <w:rPr>
          <w:sz w:val="22"/>
          <w:szCs w:val="22"/>
        </w:rPr>
      </w:pPr>
      <w:r w:rsidRPr="005921E9">
        <w:rPr>
          <w:sz w:val="22"/>
          <w:szCs w:val="22"/>
        </w:rPr>
        <w:t xml:space="preserve">Amber 40%-70% </w:t>
      </w:r>
    </w:p>
    <w:p w:rsidR="00C27D95" w:rsidRPr="005921E9" w:rsidRDefault="00C27D95" w:rsidP="005921E9">
      <w:pPr>
        <w:jc w:val="both"/>
        <w:rPr>
          <w:sz w:val="22"/>
          <w:szCs w:val="22"/>
        </w:rPr>
      </w:pPr>
      <w:r w:rsidRPr="005921E9">
        <w:rPr>
          <w:sz w:val="22"/>
          <w:szCs w:val="22"/>
        </w:rPr>
        <w:t>Green &gt;70%</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As with terrestrial sites, the adequacy of the SCI network in the marine environment was assessed using the Commission’s CIRCABC website and a percentage for insufficiency was calculated using the same methods as described above.</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The RAG rating of the adequacy of marine SCI is identical to terrestrial sites, ie:</w:t>
      </w:r>
    </w:p>
    <w:p w:rsidR="00C27D95" w:rsidRPr="005921E9" w:rsidRDefault="00C27D95" w:rsidP="005921E9">
      <w:pPr>
        <w:jc w:val="both"/>
        <w:rPr>
          <w:sz w:val="22"/>
          <w:szCs w:val="22"/>
        </w:rPr>
      </w:pPr>
      <w:r w:rsidRPr="005921E9">
        <w:rPr>
          <w:sz w:val="22"/>
          <w:szCs w:val="22"/>
        </w:rPr>
        <w:t>Red &gt;60% of species and habitats deemed insufficient</w:t>
      </w:r>
    </w:p>
    <w:p w:rsidR="00C27D95" w:rsidRPr="005921E9" w:rsidRDefault="00C27D95" w:rsidP="005921E9">
      <w:pPr>
        <w:jc w:val="both"/>
        <w:rPr>
          <w:sz w:val="22"/>
          <w:szCs w:val="22"/>
        </w:rPr>
      </w:pPr>
      <w:r w:rsidRPr="005921E9">
        <w:rPr>
          <w:sz w:val="22"/>
          <w:szCs w:val="22"/>
        </w:rPr>
        <w:t>Amber 30%-60% of habitats deemed sufficient</w:t>
      </w:r>
    </w:p>
    <w:p w:rsidR="00C27D95" w:rsidRPr="005921E9" w:rsidRDefault="00C27D95" w:rsidP="005921E9">
      <w:pPr>
        <w:jc w:val="both"/>
        <w:rPr>
          <w:sz w:val="22"/>
          <w:szCs w:val="22"/>
        </w:rPr>
      </w:pPr>
      <w:r w:rsidRPr="005921E9">
        <w:rPr>
          <w:sz w:val="22"/>
          <w:szCs w:val="22"/>
        </w:rPr>
        <w:t>Green &lt;30% of species and habitats deemed insufficient</w:t>
      </w:r>
    </w:p>
    <w:p w:rsidR="00C27D95" w:rsidRPr="005921E9" w:rsidRDefault="00C27D95" w:rsidP="005921E9">
      <w:pPr>
        <w:jc w:val="both"/>
        <w:rPr>
          <w:sz w:val="22"/>
          <w:szCs w:val="22"/>
        </w:rPr>
      </w:pPr>
    </w:p>
    <w:p w:rsidR="00C27D95" w:rsidRPr="005921E9" w:rsidRDefault="00C27D95" w:rsidP="005921E9">
      <w:pPr>
        <w:jc w:val="both"/>
        <w:rPr>
          <w:sz w:val="22"/>
          <w:szCs w:val="22"/>
        </w:rPr>
      </w:pPr>
      <w:r w:rsidRPr="005921E9">
        <w:rPr>
          <w:sz w:val="22"/>
          <w:szCs w:val="22"/>
        </w:rPr>
        <w:t xml:space="preserve">Two further assessments for marine sites were carried out: first, the percentage of a member state’s national seas covered by marine SPA taken from the minutes of the </w:t>
      </w:r>
      <w:proofErr w:type="spellStart"/>
      <w:r w:rsidRPr="005921E9">
        <w:rPr>
          <w:sz w:val="22"/>
          <w:szCs w:val="22"/>
        </w:rPr>
        <w:t>Ornis</w:t>
      </w:r>
      <w:proofErr w:type="spellEnd"/>
      <w:r w:rsidRPr="005921E9">
        <w:rPr>
          <w:sz w:val="22"/>
          <w:szCs w:val="22"/>
        </w:rPr>
        <w:t xml:space="preserve"> Committee meeting held on 5 October 2012 (available on the CIRCABC website). Secondly, the percentage of a member state’s national seas covered by </w:t>
      </w:r>
      <w:proofErr w:type="spellStart"/>
      <w:r w:rsidRPr="005921E9">
        <w:rPr>
          <w:sz w:val="22"/>
          <w:szCs w:val="22"/>
        </w:rPr>
        <w:t>Natura</w:t>
      </w:r>
      <w:proofErr w:type="spellEnd"/>
      <w:r w:rsidRPr="005921E9">
        <w:rPr>
          <w:sz w:val="22"/>
          <w:szCs w:val="22"/>
        </w:rPr>
        <w:t xml:space="preserve"> 2000 sites was rated, based on minutes of the expert meeting on marine </w:t>
      </w:r>
      <w:proofErr w:type="spellStart"/>
      <w:r w:rsidRPr="005921E9">
        <w:rPr>
          <w:sz w:val="22"/>
          <w:szCs w:val="22"/>
        </w:rPr>
        <w:t>Natura</w:t>
      </w:r>
      <w:proofErr w:type="spellEnd"/>
      <w:r w:rsidRPr="005921E9">
        <w:rPr>
          <w:sz w:val="22"/>
          <w:szCs w:val="22"/>
        </w:rPr>
        <w:t xml:space="preserve"> 2000 (SPA and SAC) sites held on 6 November 2012 (also available on CIRCABC).</w:t>
      </w:r>
    </w:p>
    <w:p w:rsidR="005921E9" w:rsidRDefault="005921E9" w:rsidP="005921E9">
      <w:pPr>
        <w:jc w:val="both"/>
        <w:rPr>
          <w:sz w:val="22"/>
          <w:szCs w:val="22"/>
        </w:rPr>
      </w:pPr>
    </w:p>
    <w:p w:rsidR="00C27D95" w:rsidRPr="005921E9" w:rsidRDefault="00C27D95" w:rsidP="005921E9">
      <w:pPr>
        <w:jc w:val="both"/>
        <w:rPr>
          <w:sz w:val="22"/>
          <w:szCs w:val="22"/>
        </w:rPr>
      </w:pPr>
      <w:r w:rsidRPr="005921E9">
        <w:rPr>
          <w:sz w:val="22"/>
          <w:szCs w:val="22"/>
        </w:rPr>
        <w:t>In each case the RAG rating thresholds were lower, to take account of the much lower percentages being achieved in the marine environment:</w:t>
      </w:r>
    </w:p>
    <w:p w:rsidR="00C27D95" w:rsidRPr="005921E9" w:rsidRDefault="00C27D95" w:rsidP="005921E9">
      <w:pPr>
        <w:jc w:val="both"/>
        <w:rPr>
          <w:sz w:val="22"/>
          <w:szCs w:val="22"/>
        </w:rPr>
      </w:pPr>
      <w:r w:rsidRPr="005921E9">
        <w:rPr>
          <w:sz w:val="22"/>
          <w:szCs w:val="22"/>
        </w:rPr>
        <w:t>Red &lt;10%</w:t>
      </w:r>
    </w:p>
    <w:p w:rsidR="00C27D95" w:rsidRPr="005921E9" w:rsidRDefault="00C27D95" w:rsidP="005921E9">
      <w:pPr>
        <w:jc w:val="both"/>
        <w:rPr>
          <w:sz w:val="22"/>
          <w:szCs w:val="22"/>
        </w:rPr>
      </w:pPr>
      <w:r w:rsidRPr="005921E9">
        <w:rPr>
          <w:sz w:val="22"/>
          <w:szCs w:val="22"/>
        </w:rPr>
        <w:t>Amber 10%-20%</w:t>
      </w:r>
    </w:p>
    <w:p w:rsidR="00C27D95" w:rsidRPr="005921E9" w:rsidRDefault="00C27D95" w:rsidP="005921E9">
      <w:pPr>
        <w:jc w:val="both"/>
        <w:rPr>
          <w:sz w:val="22"/>
          <w:szCs w:val="22"/>
        </w:rPr>
      </w:pPr>
      <w:r w:rsidRPr="005921E9">
        <w:rPr>
          <w:sz w:val="22"/>
          <w:szCs w:val="22"/>
        </w:rPr>
        <w:t>Green &gt;20%</w:t>
      </w:r>
    </w:p>
    <w:p w:rsidR="00C27D95" w:rsidRPr="005921E9" w:rsidRDefault="00C27D95" w:rsidP="005921E9">
      <w:pPr>
        <w:jc w:val="both"/>
        <w:rPr>
          <w:sz w:val="22"/>
          <w:szCs w:val="22"/>
        </w:rPr>
      </w:pPr>
    </w:p>
    <w:p w:rsidR="00C27D95" w:rsidRPr="005921E9" w:rsidRDefault="00C27D95" w:rsidP="005921E9">
      <w:pPr>
        <w:jc w:val="both"/>
        <w:rPr>
          <w:b/>
          <w:sz w:val="22"/>
          <w:szCs w:val="22"/>
        </w:rPr>
      </w:pPr>
      <w:r w:rsidRPr="005921E9">
        <w:rPr>
          <w:b/>
          <w:sz w:val="22"/>
          <w:szCs w:val="22"/>
        </w:rPr>
        <w:t>The results of this analysis are presented in the attached spreadsheet</w:t>
      </w:r>
      <w:r w:rsidR="00461C26" w:rsidRPr="005921E9">
        <w:rPr>
          <w:b/>
          <w:sz w:val="22"/>
          <w:szCs w:val="22"/>
        </w:rPr>
        <w:t xml:space="preserve">: Annex </w:t>
      </w:r>
      <w:proofErr w:type="spellStart"/>
      <w:r w:rsidR="00461C26" w:rsidRPr="005921E9">
        <w:rPr>
          <w:b/>
          <w:sz w:val="22"/>
          <w:szCs w:val="22"/>
        </w:rPr>
        <w:t>IIb</w:t>
      </w:r>
      <w:proofErr w:type="spellEnd"/>
      <w:r w:rsidRPr="005921E9">
        <w:rPr>
          <w:b/>
          <w:sz w:val="22"/>
          <w:szCs w:val="22"/>
        </w:rPr>
        <w:t>.</w:t>
      </w:r>
    </w:p>
    <w:p w:rsidR="00C27D95" w:rsidRPr="005921E9" w:rsidRDefault="00C27D95" w:rsidP="005921E9">
      <w:pPr>
        <w:spacing w:line="240" w:lineRule="auto"/>
        <w:jc w:val="both"/>
        <w:rPr>
          <w:b/>
          <w:sz w:val="22"/>
          <w:szCs w:val="22"/>
        </w:rPr>
      </w:pPr>
    </w:p>
    <w:sectPr w:rsidR="00C27D95" w:rsidRPr="005921E9" w:rsidSect="00713AD4">
      <w:headerReference w:type="default" r:id="rId8"/>
      <w:footerReference w:type="default" r:id="rId9"/>
      <w:headerReference w:type="first" r:id="rId10"/>
      <w:pgSz w:w="12240" w:h="15840"/>
      <w:pgMar w:top="1440" w:right="1080" w:bottom="1440" w:left="1080"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8D" w:rsidRDefault="0099228D">
      <w:pPr>
        <w:spacing w:line="240" w:lineRule="auto"/>
      </w:pPr>
      <w:r>
        <w:separator/>
      </w:r>
    </w:p>
  </w:endnote>
  <w:endnote w:type="continuationSeparator" w:id="0">
    <w:p w:rsidR="0099228D" w:rsidRDefault="009922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0">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0E" w:rsidRPr="00D0010E" w:rsidRDefault="008F1728">
    <w:pPr>
      <w:pStyle w:val="Footer"/>
      <w:jc w:val="center"/>
      <w:rPr>
        <w:sz w:val="20"/>
        <w:szCs w:val="20"/>
      </w:rPr>
    </w:pPr>
    <w:r w:rsidRPr="00D0010E">
      <w:rPr>
        <w:sz w:val="20"/>
        <w:szCs w:val="20"/>
      </w:rPr>
      <w:fldChar w:fldCharType="begin"/>
    </w:r>
    <w:r w:rsidR="00D0010E" w:rsidRPr="00D0010E">
      <w:rPr>
        <w:sz w:val="20"/>
        <w:szCs w:val="20"/>
      </w:rPr>
      <w:instrText xml:space="preserve"> PAGE   \* MERGEFORMAT </w:instrText>
    </w:r>
    <w:r w:rsidRPr="00D0010E">
      <w:rPr>
        <w:sz w:val="20"/>
        <w:szCs w:val="20"/>
      </w:rPr>
      <w:fldChar w:fldCharType="separate"/>
    </w:r>
    <w:r w:rsidR="005921E9">
      <w:rPr>
        <w:noProof/>
        <w:sz w:val="20"/>
        <w:szCs w:val="20"/>
      </w:rPr>
      <w:t>2</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8D" w:rsidRDefault="0099228D">
      <w:pPr>
        <w:spacing w:line="240" w:lineRule="auto"/>
      </w:pPr>
      <w:r>
        <w:separator/>
      </w:r>
    </w:p>
  </w:footnote>
  <w:footnote w:type="continuationSeparator" w:id="0">
    <w:p w:rsidR="0099228D" w:rsidRDefault="0099228D">
      <w:pPr>
        <w:spacing w:line="240" w:lineRule="auto"/>
      </w:pPr>
      <w:r>
        <w:continuationSeparator/>
      </w:r>
    </w:p>
  </w:footnote>
  <w:footnote w:id="1">
    <w:p w:rsidR="00C27D95" w:rsidRPr="005921E9" w:rsidRDefault="00C27D95" w:rsidP="005921E9">
      <w:pPr>
        <w:pStyle w:val="FootnoteText"/>
        <w:tabs>
          <w:tab w:val="left" w:pos="227"/>
        </w:tabs>
        <w:spacing w:line="240" w:lineRule="auto"/>
        <w:ind w:left="284" w:hanging="284"/>
        <w:rPr>
          <w:sz w:val="18"/>
          <w:szCs w:val="18"/>
        </w:rPr>
      </w:pPr>
      <w:r w:rsidRPr="005921E9">
        <w:rPr>
          <w:rStyle w:val="FootnoteReference"/>
          <w:sz w:val="18"/>
          <w:szCs w:val="18"/>
        </w:rPr>
        <w:footnoteRef/>
      </w:r>
      <w:r w:rsidRPr="005921E9">
        <w:rPr>
          <w:sz w:val="18"/>
          <w:szCs w:val="18"/>
        </w:rPr>
        <w:t xml:space="preserve"> </w:t>
      </w:r>
      <w:r w:rsidR="005921E9">
        <w:rPr>
          <w:sz w:val="18"/>
          <w:szCs w:val="18"/>
        </w:rPr>
        <w:tab/>
      </w:r>
      <w:hyperlink r:id="rId1" w:history="1">
        <w:r w:rsidRPr="005921E9">
          <w:rPr>
            <w:rStyle w:val="Hyperlink"/>
            <w:sz w:val="18"/>
            <w:szCs w:val="18"/>
          </w:rPr>
          <w:t>http://bd.eionet.europa.eu/activities/Natura_2000/chapter2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7F" w:rsidRPr="00416533" w:rsidRDefault="00713AD4"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D4" w:rsidRDefault="00461C26">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4"/>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44C58"/>
    <w:rsid w:val="00053869"/>
    <w:rsid w:val="000559F8"/>
    <w:rsid w:val="00061E88"/>
    <w:rsid w:val="00092167"/>
    <w:rsid w:val="00092274"/>
    <w:rsid w:val="000A265C"/>
    <w:rsid w:val="000A2F60"/>
    <w:rsid w:val="000A7840"/>
    <w:rsid w:val="000C58F2"/>
    <w:rsid w:val="000F7F4B"/>
    <w:rsid w:val="001025C2"/>
    <w:rsid w:val="001229A4"/>
    <w:rsid w:val="0013765D"/>
    <w:rsid w:val="00160020"/>
    <w:rsid w:val="00160529"/>
    <w:rsid w:val="00161306"/>
    <w:rsid w:val="00164E0B"/>
    <w:rsid w:val="00182238"/>
    <w:rsid w:val="001867F9"/>
    <w:rsid w:val="001A01A3"/>
    <w:rsid w:val="001A08DD"/>
    <w:rsid w:val="001A614C"/>
    <w:rsid w:val="001A791C"/>
    <w:rsid w:val="001B00F1"/>
    <w:rsid w:val="001B4E94"/>
    <w:rsid w:val="001B6B72"/>
    <w:rsid w:val="001C4300"/>
    <w:rsid w:val="001E67A6"/>
    <w:rsid w:val="001F379A"/>
    <w:rsid w:val="00206DCC"/>
    <w:rsid w:val="00213077"/>
    <w:rsid w:val="002146CB"/>
    <w:rsid w:val="00255D1E"/>
    <w:rsid w:val="00256BE3"/>
    <w:rsid w:val="00275E9B"/>
    <w:rsid w:val="00295102"/>
    <w:rsid w:val="002C248C"/>
    <w:rsid w:val="002D6DAE"/>
    <w:rsid w:val="00301D2D"/>
    <w:rsid w:val="00312607"/>
    <w:rsid w:val="003171D8"/>
    <w:rsid w:val="00357CB9"/>
    <w:rsid w:val="003612D2"/>
    <w:rsid w:val="00367CA4"/>
    <w:rsid w:val="00380320"/>
    <w:rsid w:val="00383140"/>
    <w:rsid w:val="00391DD8"/>
    <w:rsid w:val="00394EEB"/>
    <w:rsid w:val="003A1DA3"/>
    <w:rsid w:val="003A7FE8"/>
    <w:rsid w:val="003C6F5F"/>
    <w:rsid w:val="003D3E46"/>
    <w:rsid w:val="003F5341"/>
    <w:rsid w:val="003F5681"/>
    <w:rsid w:val="0040137F"/>
    <w:rsid w:val="00416533"/>
    <w:rsid w:val="00423149"/>
    <w:rsid w:val="00455DD9"/>
    <w:rsid w:val="00461C26"/>
    <w:rsid w:val="004777D9"/>
    <w:rsid w:val="00477D38"/>
    <w:rsid w:val="00485B6D"/>
    <w:rsid w:val="00496745"/>
    <w:rsid w:val="004A1845"/>
    <w:rsid w:val="004B01D2"/>
    <w:rsid w:val="004C7B2C"/>
    <w:rsid w:val="004D23F4"/>
    <w:rsid w:val="00503536"/>
    <w:rsid w:val="00511D96"/>
    <w:rsid w:val="00517A49"/>
    <w:rsid w:val="00524613"/>
    <w:rsid w:val="00531AE0"/>
    <w:rsid w:val="00540C35"/>
    <w:rsid w:val="00542004"/>
    <w:rsid w:val="005517FB"/>
    <w:rsid w:val="00561CC3"/>
    <w:rsid w:val="005921E9"/>
    <w:rsid w:val="0059313A"/>
    <w:rsid w:val="005A3C69"/>
    <w:rsid w:val="005B2958"/>
    <w:rsid w:val="005C7EAC"/>
    <w:rsid w:val="005D0819"/>
    <w:rsid w:val="005D3002"/>
    <w:rsid w:val="006072DA"/>
    <w:rsid w:val="00630C32"/>
    <w:rsid w:val="00640D25"/>
    <w:rsid w:val="006438C6"/>
    <w:rsid w:val="00645172"/>
    <w:rsid w:val="00650A54"/>
    <w:rsid w:val="0065792E"/>
    <w:rsid w:val="00682891"/>
    <w:rsid w:val="006906CB"/>
    <w:rsid w:val="006A6AE7"/>
    <w:rsid w:val="006B3759"/>
    <w:rsid w:val="006B37A2"/>
    <w:rsid w:val="006C3461"/>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6C7A"/>
    <w:rsid w:val="00821C0A"/>
    <w:rsid w:val="00842B74"/>
    <w:rsid w:val="0085108D"/>
    <w:rsid w:val="008B24D1"/>
    <w:rsid w:val="008C3EEB"/>
    <w:rsid w:val="008E3C64"/>
    <w:rsid w:val="008F1728"/>
    <w:rsid w:val="00903808"/>
    <w:rsid w:val="00915834"/>
    <w:rsid w:val="009460A5"/>
    <w:rsid w:val="00952DAA"/>
    <w:rsid w:val="00956187"/>
    <w:rsid w:val="00960AE0"/>
    <w:rsid w:val="009623C9"/>
    <w:rsid w:val="00971EBB"/>
    <w:rsid w:val="009755D9"/>
    <w:rsid w:val="00977D94"/>
    <w:rsid w:val="00981C55"/>
    <w:rsid w:val="00987488"/>
    <w:rsid w:val="0099228D"/>
    <w:rsid w:val="009C7C92"/>
    <w:rsid w:val="009D0915"/>
    <w:rsid w:val="009E0B07"/>
    <w:rsid w:val="009E6E3F"/>
    <w:rsid w:val="00A26BD7"/>
    <w:rsid w:val="00A26F1A"/>
    <w:rsid w:val="00A348E2"/>
    <w:rsid w:val="00A63081"/>
    <w:rsid w:val="00A727CD"/>
    <w:rsid w:val="00A771D2"/>
    <w:rsid w:val="00A93491"/>
    <w:rsid w:val="00A96BA9"/>
    <w:rsid w:val="00AE076B"/>
    <w:rsid w:val="00AF5607"/>
    <w:rsid w:val="00AF7E86"/>
    <w:rsid w:val="00B11235"/>
    <w:rsid w:val="00B373C4"/>
    <w:rsid w:val="00B40D80"/>
    <w:rsid w:val="00B5228C"/>
    <w:rsid w:val="00B561FE"/>
    <w:rsid w:val="00B964DC"/>
    <w:rsid w:val="00BA2086"/>
    <w:rsid w:val="00BC7328"/>
    <w:rsid w:val="00BD4161"/>
    <w:rsid w:val="00BE15E8"/>
    <w:rsid w:val="00BE6F6A"/>
    <w:rsid w:val="00BF2D26"/>
    <w:rsid w:val="00C043C5"/>
    <w:rsid w:val="00C05941"/>
    <w:rsid w:val="00C0728F"/>
    <w:rsid w:val="00C25F0D"/>
    <w:rsid w:val="00C27D95"/>
    <w:rsid w:val="00C455EC"/>
    <w:rsid w:val="00C7226E"/>
    <w:rsid w:val="00C80CD8"/>
    <w:rsid w:val="00C8370D"/>
    <w:rsid w:val="00C856A1"/>
    <w:rsid w:val="00CA0893"/>
    <w:rsid w:val="00CB27DB"/>
    <w:rsid w:val="00CC55FC"/>
    <w:rsid w:val="00CE145F"/>
    <w:rsid w:val="00CE5E72"/>
    <w:rsid w:val="00D0010E"/>
    <w:rsid w:val="00D05499"/>
    <w:rsid w:val="00D06ECE"/>
    <w:rsid w:val="00D07AA0"/>
    <w:rsid w:val="00D12A12"/>
    <w:rsid w:val="00D167FE"/>
    <w:rsid w:val="00D17249"/>
    <w:rsid w:val="00D24CB3"/>
    <w:rsid w:val="00D27C93"/>
    <w:rsid w:val="00D524A5"/>
    <w:rsid w:val="00D659BC"/>
    <w:rsid w:val="00DA4EBE"/>
    <w:rsid w:val="00DA503D"/>
    <w:rsid w:val="00DB6299"/>
    <w:rsid w:val="00DC25AE"/>
    <w:rsid w:val="00DE7A81"/>
    <w:rsid w:val="00DF5609"/>
    <w:rsid w:val="00E01100"/>
    <w:rsid w:val="00E160C7"/>
    <w:rsid w:val="00E2135D"/>
    <w:rsid w:val="00E21864"/>
    <w:rsid w:val="00E27D97"/>
    <w:rsid w:val="00E32A40"/>
    <w:rsid w:val="00E461E4"/>
    <w:rsid w:val="00E6055D"/>
    <w:rsid w:val="00E76888"/>
    <w:rsid w:val="00E81DEA"/>
    <w:rsid w:val="00E85D44"/>
    <w:rsid w:val="00E8619E"/>
    <w:rsid w:val="00E92E73"/>
    <w:rsid w:val="00EA1BCE"/>
    <w:rsid w:val="00EA2302"/>
    <w:rsid w:val="00EA7C9B"/>
    <w:rsid w:val="00EC5188"/>
    <w:rsid w:val="00ED5B93"/>
    <w:rsid w:val="00EE1189"/>
    <w:rsid w:val="00EE17A0"/>
    <w:rsid w:val="00EF3DD3"/>
    <w:rsid w:val="00F03D30"/>
    <w:rsid w:val="00F17E1F"/>
    <w:rsid w:val="00F231DB"/>
    <w:rsid w:val="00F25D08"/>
    <w:rsid w:val="00F26F05"/>
    <w:rsid w:val="00F4319C"/>
    <w:rsid w:val="00F60832"/>
    <w:rsid w:val="00F60CA6"/>
    <w:rsid w:val="00F74677"/>
    <w:rsid w:val="00F77649"/>
    <w:rsid w:val="00FB1AB8"/>
    <w:rsid w:val="00FC0A39"/>
    <w:rsid w:val="00FC5BE7"/>
    <w:rsid w:val="00FC7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28"/>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8F1728"/>
    <w:rPr>
      <w:rFonts w:cs="Courier New"/>
    </w:rPr>
  </w:style>
  <w:style w:type="character" w:customStyle="1" w:styleId="FootnoteTextChar">
    <w:name w:val="Footnote Text Char"/>
    <w:basedOn w:val="DefaultParagraphFont"/>
    <w:uiPriority w:val="99"/>
    <w:rsid w:val="008F1728"/>
  </w:style>
  <w:style w:type="character" w:customStyle="1" w:styleId="FootnoteReference1">
    <w:name w:val="Footnote Reference1"/>
    <w:basedOn w:val="DefaultParagraphFont"/>
    <w:rsid w:val="008F1728"/>
  </w:style>
  <w:style w:type="character" w:styleId="Hyperlink">
    <w:name w:val="Hyperlink"/>
    <w:rsid w:val="008F1728"/>
    <w:rPr>
      <w:color w:val="0000FF"/>
      <w:u w:val="single"/>
    </w:rPr>
  </w:style>
  <w:style w:type="character" w:customStyle="1" w:styleId="BalloonTextChar">
    <w:name w:val="Balloon Text Char"/>
    <w:basedOn w:val="DefaultParagraphFont"/>
    <w:rsid w:val="008F1728"/>
  </w:style>
  <w:style w:type="character" w:customStyle="1" w:styleId="FootnoteCharacters">
    <w:name w:val="Footnote Characters"/>
    <w:rsid w:val="008F1728"/>
  </w:style>
  <w:style w:type="character" w:styleId="FootnoteReference">
    <w:name w:val="footnote reference"/>
    <w:uiPriority w:val="99"/>
    <w:rsid w:val="008F1728"/>
    <w:rPr>
      <w:vertAlign w:val="superscript"/>
    </w:rPr>
  </w:style>
  <w:style w:type="character" w:styleId="EndnoteReference">
    <w:name w:val="endnote reference"/>
    <w:rsid w:val="008F1728"/>
    <w:rPr>
      <w:vertAlign w:val="superscript"/>
    </w:rPr>
  </w:style>
  <w:style w:type="character" w:customStyle="1" w:styleId="EndnoteCharacters">
    <w:name w:val="Endnote Characters"/>
    <w:rsid w:val="008F1728"/>
  </w:style>
  <w:style w:type="paragraph" w:customStyle="1" w:styleId="Heading">
    <w:name w:val="Heading"/>
    <w:basedOn w:val="Normal"/>
    <w:next w:val="BodyText"/>
    <w:rsid w:val="008F1728"/>
    <w:pPr>
      <w:keepNext/>
      <w:spacing w:before="240" w:after="120"/>
    </w:pPr>
    <w:rPr>
      <w:rFonts w:cs="Mangal"/>
      <w:sz w:val="28"/>
      <w:szCs w:val="28"/>
    </w:rPr>
  </w:style>
  <w:style w:type="paragraph" w:styleId="BodyText">
    <w:name w:val="Body Text"/>
    <w:basedOn w:val="Normal"/>
    <w:rsid w:val="008F1728"/>
    <w:pPr>
      <w:spacing w:after="120"/>
    </w:pPr>
  </w:style>
  <w:style w:type="paragraph" w:styleId="List">
    <w:name w:val="List"/>
    <w:basedOn w:val="BodyText"/>
    <w:rsid w:val="008F1728"/>
    <w:rPr>
      <w:rFonts w:cs="Mangal"/>
    </w:rPr>
  </w:style>
  <w:style w:type="paragraph" w:styleId="Caption">
    <w:name w:val="caption"/>
    <w:basedOn w:val="Normal"/>
    <w:qFormat/>
    <w:rsid w:val="008F1728"/>
    <w:pPr>
      <w:suppressLineNumbers/>
      <w:spacing w:before="120" w:after="120"/>
    </w:pPr>
    <w:rPr>
      <w:rFonts w:cs="Mangal"/>
      <w:i/>
      <w:iCs/>
    </w:rPr>
  </w:style>
  <w:style w:type="paragraph" w:customStyle="1" w:styleId="Index">
    <w:name w:val="Index"/>
    <w:basedOn w:val="Normal"/>
    <w:rsid w:val="008F1728"/>
    <w:pPr>
      <w:suppressLineNumbers/>
    </w:pPr>
    <w:rPr>
      <w:rFonts w:cs="Mangal"/>
    </w:rPr>
  </w:style>
  <w:style w:type="paragraph" w:styleId="ListParagraph">
    <w:name w:val="List Paragraph"/>
    <w:basedOn w:val="Normal"/>
    <w:uiPriority w:val="34"/>
    <w:qFormat/>
    <w:rsid w:val="008F1728"/>
  </w:style>
  <w:style w:type="paragraph" w:styleId="NoSpacing">
    <w:name w:val="No Spacing"/>
    <w:qFormat/>
    <w:rsid w:val="008F1728"/>
    <w:pPr>
      <w:widowControl w:val="0"/>
      <w:suppressAutoHyphens/>
      <w:spacing w:after="200" w:line="276" w:lineRule="auto"/>
    </w:pPr>
    <w:rPr>
      <w:rFonts w:ascii="Arial" w:eastAsia="SimSun" w:hAnsi="Arial" w:cs="font290"/>
      <w:kern w:val="1"/>
      <w:sz w:val="22"/>
      <w:szCs w:val="22"/>
      <w:lang w:val="en-US" w:eastAsia="ar-SA"/>
    </w:rPr>
  </w:style>
  <w:style w:type="paragraph" w:customStyle="1" w:styleId="FootnoteText1">
    <w:name w:val="Footnote Text1"/>
    <w:basedOn w:val="Normal"/>
    <w:rsid w:val="008F1728"/>
  </w:style>
  <w:style w:type="paragraph" w:styleId="BalloonText">
    <w:name w:val="Balloon Text"/>
    <w:basedOn w:val="Normal"/>
    <w:rsid w:val="008F1728"/>
  </w:style>
  <w:style w:type="paragraph" w:styleId="FootnoteText">
    <w:name w:val="footnote text"/>
    <w:basedOn w:val="Normal"/>
    <w:uiPriority w:val="99"/>
    <w:rsid w:val="008F1728"/>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semiHidden/>
    <w:unhideWhenUsed/>
    <w:rsid w:val="00EA7C9B"/>
    <w:rPr>
      <w:rFonts w:cs="Times New Roman"/>
      <w:sz w:val="20"/>
      <w:szCs w:val="20"/>
    </w:rPr>
  </w:style>
  <w:style w:type="character" w:customStyle="1" w:styleId="CommentTextChar">
    <w:name w:val="Comment Text Char"/>
    <w:link w:val="CommentText"/>
    <w:uiPriority w:val="99"/>
    <w:semiHidden/>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d.eionet.europa.eu/activities/Natura_2000/chapter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1395-CBEE-4A04-B5B0-68B85F50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3430</CharactersWithSpaces>
  <SharedDoc>false</SharedDoc>
  <HLinks>
    <vt:vector size="6" baseType="variant">
      <vt:variant>
        <vt:i4>6422615</vt:i4>
      </vt:variant>
      <vt:variant>
        <vt:i4>0</vt:i4>
      </vt:variant>
      <vt:variant>
        <vt:i4>0</vt:i4>
      </vt:variant>
      <vt:variant>
        <vt:i4>5</vt:i4>
      </vt:variant>
      <vt:variant>
        <vt:lpwstr>http://bd.eionet.europa.eu/activities/Natura_2000/chapter2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Deborah Fuggles</cp:lastModifiedBy>
  <cp:revision>3</cp:revision>
  <cp:lastPrinted>2012-06-08T10:00:00Z</cp:lastPrinted>
  <dcterms:created xsi:type="dcterms:W3CDTF">2015-03-24T16:48:00Z</dcterms:created>
  <dcterms:modified xsi:type="dcterms:W3CDTF">2015-03-25T10:01:00Z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-903942679</vt:i4>
  </property>
  <property fmtid="{D5CDD505-2E9C-101B-9397-08002B2CF9AE}" pid="3" name="_NewReviewCycle">
    <vt:lpwstr/>
  </property>
  <property fmtid="{D5CDD505-2E9C-101B-9397-08002B2CF9AE}" pid="4" name="_EmailSubject">
    <vt:lpwstr>3 of 3</vt:lpwstr>
  </property>
  <property fmtid="{D5CDD505-2E9C-101B-9397-08002B2CF9AE}" pid="5" name="_AuthorEmail">
    <vt:lpwstr>Kate.Jennings@rspb.org.uk</vt:lpwstr>
  </property>
  <property fmtid="{D5CDD505-2E9C-101B-9397-08002B2CF9AE}" pid="6" name="_AuthorEmailDisplayName">
    <vt:lpwstr>Jennings, Kate</vt:lpwstr>
  </property>
</Properties>
</file>